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Сроки обращения в суд по трудовым спорам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Сроки обращения в суд за разрешением индивидуального трудового спора регламентированы статьей 392 Трудового кодекса Российской Федерации.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Так, работник имеет право обратиться в суд за разрешением индивидуального трудового спора в течение трех месяцев со дня, когда он узнал или должен был узнать о нарушении своего права.</w:t>
      </w: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7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По спорам об увольнении предусмотрен сокращенный срок - в течение одного месяца со дня вручения работнику копии приказа об увольнении либо со дня выдачи трудовой книжки или со дня предоставления работнику</w:t>
      </w:r>
    </w:p>
    <w:p w14:paraId="08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 связи с его увольнением сведений о трудовой деятельности у работодателя по последнему месту работы.</w:t>
      </w:r>
    </w:p>
    <w:p w14:paraId="09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A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За разрешением индивидуального трудового спора о невыплате или неполной выплате заработной платы и других выплат, причитающихся работнику, он имеет право обратиться в суд в течение одного года со дня установленного срока выплаты указанных сумм, в том числе в случае невыплаты или неполной выплаты заработной платы и других выплат, причитающихся работнику при увольнении.</w:t>
      </w:r>
    </w:p>
    <w:p w14:paraId="0B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C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Требование о компенсации морального вреда, причиненного работнику вследствие нарушения его трудовых прав, может быть заявлено в суд одновременно с требованием о восстановлении нарушенных трудовых прав либо в течение трех месяцев после вступления в законную силу решения суда, которым эти права были восстановлены полностью или частично.</w:t>
      </w:r>
    </w:p>
    <w:p w14:paraId="0D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E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Следует учитывать, что на споры о компенсации морального вреда, причиненного жизни или здоровью гражданина, указанные выше сроки не распространяются (статья 208 Гражданского кодекса Российской Федерации).</w:t>
      </w:r>
    </w:p>
    <w:p w14:paraId="0F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10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 свою очередь, работодатель имеет право обратиться в суд по спорам о возмещении работником ущерба, причиненного работодателю, в течение одного года со дня обнаружения причиненного ущерба.</w:t>
      </w:r>
    </w:p>
    <w:p w14:paraId="1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1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При пропуске по уважительным причинам указанных сроков они могут быть восстановлены судом.</w:t>
      </w:r>
    </w:p>
    <w:p w14:paraId="1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14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15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16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p w14:paraId="17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18000000">
      <w:pPr>
        <w:pStyle w:val="Style_1"/>
      </w:pP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2025-11-21T06:39:31Z</dcterms:modified>
</cp:coreProperties>
</file>